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AED07" w14:textId="00B12D8C" w:rsidR="00576686" w:rsidRPr="00F80712" w:rsidRDefault="00576686" w:rsidP="0057668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BASES DE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 </w:t>
      </w: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L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A</w:t>
      </w: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PROMOCIÓN</w:t>
      </w:r>
    </w:p>
    <w:p w14:paraId="48D4108A" w14:textId="384697E3" w:rsidR="00576686" w:rsidRPr="00576686" w:rsidRDefault="00576686" w:rsidP="0057668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576686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“GOLDEN </w:t>
      </w:r>
      <w:proofErr w:type="gramStart"/>
      <w:r w:rsidRPr="00576686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TICKET</w:t>
      </w:r>
      <w:proofErr w:type="gramEnd"/>
      <w:r w:rsidRPr="00576686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 ENTRADAS DOBLES LA VELADA 2024”</w:t>
      </w:r>
      <w:r w:rsidRPr="00576686">
        <w:rPr>
          <w:rFonts w:ascii="Calibri" w:eastAsia="Times New Roman" w:hAnsi="Calibri" w:cs="Calibri"/>
          <w:b/>
          <w:i/>
          <w:kern w:val="0"/>
          <w:sz w:val="22"/>
          <w:szCs w:val="22"/>
          <w:lang w:eastAsia="es-ES"/>
          <w14:ligatures w14:val="none"/>
        </w:rPr>
        <w:t xml:space="preserve"> </w:t>
      </w:r>
    </w:p>
    <w:p w14:paraId="0A8B66A9" w14:textId="77777777" w:rsidR="00576686" w:rsidRPr="00F80712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DEFINICIONES</w:t>
      </w:r>
    </w:p>
    <w:p w14:paraId="20EE23C9" w14:textId="78BF1D4E" w:rsid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Bases Legales: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Significa los presentes términos y condiciones legales, por los que debe regirse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la Promoción. </w:t>
      </w:r>
    </w:p>
    <w:p w14:paraId="1C48E335" w14:textId="1FF11CD3" w:rsid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1350E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Código QR</w:t>
      </w:r>
      <w:r w:rsidRPr="001350E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: Combinación de barras y cuadros que acompaña a un producto o unidad de consumo para que pueda ser leído y descifrado mediante un lector óptico que transmite los datos a una máquina o una computadora y que dará acces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o al Formulario que deberán completar si quieren obtener el Premio.</w:t>
      </w:r>
    </w:p>
    <w:p w14:paraId="09F64DC9" w14:textId="4554D674" w:rsidR="00576686" w:rsidRP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576686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Farmacias Adheridas a la Promoción: 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Significa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n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l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a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s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farmacias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físic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a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s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u online 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ubicad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a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s en el Territorio que hayan sido previamente seleccionad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a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s por el Organizador para participar en el presente Pro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moción y que comercialicen la marca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Cerave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.</w:t>
      </w:r>
    </w:p>
    <w:p w14:paraId="47290DD6" w14:textId="0756551A" w:rsidR="00576686" w:rsidRDefault="00576686" w:rsidP="00576686">
      <w:pPr>
        <w:spacing w:before="240"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04D3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Formulario de Participación: </w:t>
      </w:r>
      <w:r w:rsidRPr="00A04D3D">
        <w:rPr>
          <w:rFonts w:ascii="Calibri" w:eastAsia="Calibri" w:hAnsi="Calibri" w:cs="Calibri"/>
          <w:kern w:val="0"/>
          <w:sz w:val="22"/>
          <w:szCs w:val="22"/>
          <w14:ligatures w14:val="none"/>
        </w:rPr>
        <w:t>Significa el formulario que los participantes deberán cumplimentar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,</w:t>
      </w:r>
      <w:r w:rsidRPr="00A04D3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una vez que encuentren el producto que tiene el Golden </w:t>
      </w:r>
      <w:proofErr w:type="gramStart"/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Ticket</w:t>
      </w:r>
      <w:proofErr w:type="gramEnd"/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y que está </w:t>
      </w:r>
      <w:r w:rsidRPr="00A04D3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alojado en la siguiente URL: </w:t>
      </w:r>
      <w:hyperlink r:id="rId7" w:history="1">
        <w:r w:rsidRPr="00AC6E5C">
          <w:rPr>
            <w:rStyle w:val="Hipervnculo"/>
            <w:rFonts w:ascii="Calibri" w:eastAsia="Calibri" w:hAnsi="Calibri" w:cs="Calibri"/>
            <w:kern w:val="0"/>
            <w:sz w:val="22"/>
            <w:szCs w:val="22"/>
            <w14:ligatures w14:val="none"/>
          </w:rPr>
          <w:t>https://cerave-es.beauty-campaigns.com/quiz/1427722_1221/.html</w:t>
        </w:r>
      </w:hyperlink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</w:p>
    <w:p w14:paraId="5ADF5FAD" w14:textId="38E02B3D" w:rsidR="00576686" w:rsidRDefault="00576686" w:rsidP="00576686">
      <w:pPr>
        <w:spacing w:before="240"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57668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Golden </w:t>
      </w:r>
      <w:proofErr w:type="gramStart"/>
      <w:r w:rsidRPr="0057668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Ticket</w:t>
      </w:r>
      <w:proofErr w:type="gramEnd"/>
      <w:r w:rsidRPr="0057668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: </w:t>
      </w:r>
      <w:r w:rsidRPr="0057668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Significa los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diez (10</w:t>
      </w:r>
      <w:r w:rsidRPr="0057668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) </w:t>
      </w:r>
      <w:r w:rsidRPr="00576686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Golden tickets</w:t>
      </w:r>
      <w:r w:rsidRPr="0057668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aleatoriamente distribuidos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dentro de diez (10) productos de la marca </w:t>
      </w:r>
      <w:proofErr w:type="spellStart"/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Cerave</w:t>
      </w:r>
      <w:proofErr w:type="spellEnd"/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57668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en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las Farmacias </w:t>
      </w:r>
      <w:r w:rsidRPr="00576686">
        <w:rPr>
          <w:rFonts w:ascii="Calibri" w:eastAsia="Calibri" w:hAnsi="Calibri" w:cs="Calibri"/>
          <w:kern w:val="0"/>
          <w:sz w:val="22"/>
          <w:szCs w:val="22"/>
          <w14:ligatures w14:val="none"/>
        </w:rPr>
        <w:t>Adherid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576686">
        <w:rPr>
          <w:rFonts w:ascii="Calibri" w:eastAsia="Calibri" w:hAnsi="Calibri" w:cs="Calibri"/>
          <w:kern w:val="0"/>
          <w:sz w:val="22"/>
          <w:szCs w:val="22"/>
          <w14:ligatures w14:val="none"/>
        </w:rPr>
        <w:t>s a la Promoción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y </w:t>
      </w:r>
      <w:r w:rsidRPr="0057668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cuya obtención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durante el Periodo de Vigencia </w:t>
      </w:r>
      <w:r w:rsidRPr="00576686">
        <w:rPr>
          <w:rFonts w:ascii="Calibri" w:eastAsia="Calibri" w:hAnsi="Calibri" w:cs="Calibri"/>
          <w:kern w:val="0"/>
          <w:sz w:val="22"/>
          <w:szCs w:val="22"/>
          <w14:ligatures w14:val="none"/>
        </w:rPr>
        <w:t>dará derecho a obtener el Premio.</w:t>
      </w:r>
    </w:p>
    <w:p w14:paraId="722B7E6B" w14:textId="53CCDCFD" w:rsidR="00576686" w:rsidRPr="00E90868" w:rsidRDefault="00576686" w:rsidP="00576686">
      <w:pPr>
        <w:spacing w:before="240"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bookmarkStart w:id="0" w:name="_Hlk166775865"/>
      <w:r w:rsidRPr="00576686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La Velada del Año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: Significa el Evento de boxeo aficionado entre </w:t>
      </w:r>
      <w:proofErr w:type="spellStart"/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streamers</w:t>
      </w:r>
      <w:proofErr w:type="spellEnd"/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, creadores de contenido y celebridades organizado por Ibai Llanos y que tendrá lugar el día 13 de julio de 2024 a las 17.00 horas en el Estadio Santiago Bernabéu (Madrid).</w:t>
      </w:r>
    </w:p>
    <w:bookmarkEnd w:id="0"/>
    <w:p w14:paraId="05982066" w14:textId="77777777" w:rsid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Premio: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Significa el premio al que los participantes optarán al participar en la promoción y que se encuentra regulado en la Cláusula Quinta de las presentes Bases Legales.</w:t>
      </w:r>
    </w:p>
    <w:p w14:paraId="7D4220B3" w14:textId="1E1FB16A" w:rsidR="00576686" w:rsidRP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576686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Productos: 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Significa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los productos de la marca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Cerave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que los consumidores deben comprar y en los que pueden encontrar los Golden </w:t>
      </w:r>
      <w:proofErr w:type="gramStart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Tickets</w:t>
      </w:r>
      <w:proofErr w:type="gramEnd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que les darán derecho a obtener el premio. </w:t>
      </w:r>
    </w:p>
    <w:p w14:paraId="7506E28E" w14:textId="468435C5" w:rsid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576686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Promoción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: Significa la promoción </w:t>
      </w:r>
      <w:r w:rsidRPr="00576686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“GOLDEN </w:t>
      </w:r>
      <w:proofErr w:type="gramStart"/>
      <w:r w:rsidRPr="00576686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TICKET</w:t>
      </w:r>
      <w:proofErr w:type="gramEnd"/>
      <w:r w:rsidRPr="00576686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 ENTRADAS DOBLES LA VELADA 2024”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organizado por L’ORÉAL ESPAÑA, S.A.U. con domicilio social en la calle Alcalá, 546, 28027 (Madrid) y con CIF núm. A-28050359 (en adelante, “</w:t>
      </w:r>
      <w:r w:rsidRPr="00576686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Organizador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”), bajo los términos y condiciones descritos en estas Bases Legales, en relación con la promoción de los productos de la marca </w:t>
      </w:r>
      <w:proofErr w:type="spellStart"/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Cerave</w:t>
      </w:r>
      <w:proofErr w:type="spellEnd"/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.</w:t>
      </w:r>
    </w:p>
    <w:p w14:paraId="226BB787" w14:textId="77777777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Teléfono de Atención al Cliente: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Para cualquier tipo de reclamación, consulta o queja sobre las marcas o sus Productos deberá dirigirse al número de teléfono </w:t>
      </w:r>
      <w:r w:rsidRPr="00A04D3D">
        <w:rPr>
          <w:rFonts w:ascii="Calibri" w:eastAsia="Calibri" w:hAnsi="Calibri" w:cs="Arial"/>
          <w:sz w:val="22"/>
          <w:szCs w:val="22"/>
        </w:rPr>
        <w:t xml:space="preserve">900 21 11 25. </w:t>
      </w:r>
      <w:r w:rsidRPr="00A04D3D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</w:p>
    <w:p w14:paraId="196C6AB8" w14:textId="140C792A" w:rsid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Territorio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: El ámbito territorial d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e 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será todo el territorio de España. Los participantes que no residan en España serán automáticamente descalificados.</w:t>
      </w:r>
    </w:p>
    <w:p w14:paraId="50F6700D" w14:textId="77777777" w:rsid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p w14:paraId="348B0B64" w14:textId="77777777" w:rsid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p w14:paraId="6F46E2EB" w14:textId="77777777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p w14:paraId="0D7C358E" w14:textId="293E790B" w:rsidR="00576686" w:rsidRPr="00F80712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lastRenderedPageBreak/>
        <w:t>OBJETO DE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 LA PROMOCIÓN </w:t>
      </w:r>
    </w:p>
    <w:p w14:paraId="711F3684" w14:textId="6A360472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El objeto de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es una acción publicitaria denominada</w:t>
      </w: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 “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GOLDEN </w:t>
      </w:r>
      <w:proofErr w:type="gramStart"/>
      <w:r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TICKET</w:t>
      </w:r>
      <w:proofErr w:type="gramEnd"/>
      <w:r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 ENTRADAS DOBLES LA VELADA 2024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” con la que se pretenden promocionar los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p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roductos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de la marca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Cerave</w:t>
      </w:r>
      <w:proofErr w:type="spellEnd"/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entre los participantes que cumplan con las condiciones y requisitos establecidos en estas Bases Legales, pudiendo optar a los Premios detallados en la Cláusula Quinta.</w:t>
      </w:r>
    </w:p>
    <w:p w14:paraId="557B4D0E" w14:textId="77777777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p w14:paraId="7647E986" w14:textId="77777777" w:rsidR="00576686" w:rsidRPr="00F80712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PERÍODO DE VIGENCIA</w:t>
      </w:r>
    </w:p>
    <w:p w14:paraId="3FD6B8E9" w14:textId="3427B784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El Período de Vigencia del Concurso, durante el cual se podrán realizar las actividades que dan derecho a participar en Concurso, dará comienzo el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22</w:t>
      </w:r>
      <w:r w:rsidRPr="00F8071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 de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mayo</w:t>
      </w:r>
      <w:r w:rsidRPr="00F8071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 de 2024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y finaliza el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8 </w:t>
      </w:r>
      <w:r w:rsidRPr="00F8071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de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julio</w:t>
      </w:r>
      <w:r w:rsidRPr="00F8071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 de 2024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; ambos inclusive.</w:t>
      </w:r>
    </w:p>
    <w:p w14:paraId="2B80869B" w14:textId="77777777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p w14:paraId="7CB8B87A" w14:textId="5F529ECA" w:rsidR="00576686" w:rsidRPr="00F80712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MECÁNICA DE PARTICIPACIÓN EN </w:t>
      </w:r>
      <w:r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LA PROMOCIÓN</w:t>
      </w:r>
    </w:p>
    <w:p w14:paraId="558A2E29" w14:textId="61F2C25B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Para poder participar en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la Promoción,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los participantes deberán cumplir los siguientes criterios:</w:t>
      </w:r>
    </w:p>
    <w:p w14:paraId="3119AEE4" w14:textId="2C0CF4BF" w:rsidR="00576686" w:rsidRPr="001540C0" w:rsidRDefault="00576686" w:rsidP="00576686">
      <w:pPr>
        <w:widowControl w:val="0"/>
        <w:numPr>
          <w:ilvl w:val="0"/>
          <w:numId w:val="3"/>
        </w:num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Comprar durante el Periodo de Vigencia al menos un (1) producto de la marca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Cerave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. </w:t>
      </w:r>
    </w:p>
    <w:p w14:paraId="0FB7DA62" w14:textId="77777777" w:rsidR="00576686" w:rsidRDefault="00576686" w:rsidP="00576686">
      <w:pPr>
        <w:widowControl w:val="0"/>
        <w:numPr>
          <w:ilvl w:val="0"/>
          <w:numId w:val="3"/>
        </w:num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Comprobar si en el producto adquirido contienen uno (1) de los diez Golden </w:t>
      </w:r>
      <w:proofErr w:type="gramStart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Ticket</w:t>
      </w:r>
      <w:proofErr w:type="gramEnd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:</w:t>
      </w:r>
    </w:p>
    <w:p w14:paraId="4F89DD53" w14:textId="31F8CA0C" w:rsidR="00576686" w:rsidRDefault="00576686" w:rsidP="00576686">
      <w:pPr>
        <w:pStyle w:val="Prrafodelista"/>
        <w:widowControl w:val="0"/>
        <w:numPr>
          <w:ilvl w:val="0"/>
          <w:numId w:val="5"/>
        </w:num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En el caso de que en el producto adquirido se incluya uno de los diez (10) Golden </w:t>
      </w:r>
      <w:proofErr w:type="gramStart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Ticket</w:t>
      </w:r>
      <w:proofErr w:type="gramEnd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el participante deberá:</w:t>
      </w:r>
    </w:p>
    <w:p w14:paraId="393BEF75" w14:textId="77777777" w:rsidR="00576686" w:rsidRDefault="00576686" w:rsidP="00576686">
      <w:pPr>
        <w:pStyle w:val="Prrafodelista"/>
        <w:widowControl w:val="0"/>
        <w:spacing w:before="240" w:after="0" w:line="240" w:lineRule="auto"/>
        <w:ind w:left="1080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p w14:paraId="41572C0E" w14:textId="5BB02666" w:rsidR="00576686" w:rsidRPr="00576686" w:rsidRDefault="00576686" w:rsidP="00576686">
      <w:pPr>
        <w:pStyle w:val="Prrafodelista"/>
        <w:widowControl w:val="0"/>
        <w:numPr>
          <w:ilvl w:val="1"/>
          <w:numId w:val="3"/>
        </w:num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Escanear el Código QR que aparece en el </w:t>
      </w:r>
      <w:proofErr w:type="gramStart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ticket</w:t>
      </w:r>
      <w:proofErr w:type="gramEnd"/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el cual le redirigirá al Formulario de Participación alojado en la siguiente URL: </w:t>
      </w:r>
      <w:hyperlink r:id="rId8" w:history="1">
        <w:r w:rsidRPr="00AC6E5C">
          <w:rPr>
            <w:rStyle w:val="Hipervnculo"/>
            <w:rFonts w:ascii="Calibri" w:eastAsia="Calibri" w:hAnsi="Calibri" w:cs="Calibri"/>
            <w:kern w:val="0"/>
            <w:sz w:val="22"/>
            <w:szCs w:val="22"/>
            <w14:ligatures w14:val="none"/>
          </w:rPr>
          <w:t>https://cerave-es.beauty-campaigns.com/quiz/1427722_1221/.html</w:t>
        </w:r>
      </w:hyperlink>
    </w:p>
    <w:p w14:paraId="4BA64E49" w14:textId="733A7AAF" w:rsidR="00576686" w:rsidRPr="00576686" w:rsidRDefault="00576686" w:rsidP="00576686">
      <w:pPr>
        <w:pStyle w:val="Prrafodelista"/>
        <w:widowControl w:val="0"/>
        <w:numPr>
          <w:ilvl w:val="1"/>
          <w:numId w:val="3"/>
        </w:num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Completar el Formulario con los datos allí requeridos, siendo los marcados con asterisco (*) de obligada cumplimentación y deberá introducir también el Código Único de Verificación que encontrará en su </w:t>
      </w:r>
      <w:r w:rsidRPr="005F6E65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Golden </w:t>
      </w:r>
      <w:proofErr w:type="gramStart"/>
      <w:r w:rsidRPr="005F6E65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Ticket</w:t>
      </w:r>
      <w:proofErr w:type="gramEnd"/>
      <w:r w:rsidRPr="005F6E65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</w:t>
      </w:r>
    </w:p>
    <w:p w14:paraId="0F87E290" w14:textId="77777777" w:rsidR="00576686" w:rsidRPr="00F80712" w:rsidRDefault="00576686" w:rsidP="00576686">
      <w:pPr>
        <w:widowControl w:val="0"/>
        <w:numPr>
          <w:ilvl w:val="0"/>
          <w:numId w:val="3"/>
        </w:num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Cumplir con el resto de las condiciones expresadas en las presentes bases legales.</w:t>
      </w:r>
    </w:p>
    <w:p w14:paraId="6B0B54D3" w14:textId="04366F37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Cada participante podrá participar en la Promoción todas las veces que lo desee, pero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</w:t>
      </w:r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cada Golden </w:t>
      </w:r>
      <w:proofErr w:type="gramStart"/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Ticket</w:t>
      </w:r>
      <w:proofErr w:type="gramEnd"/>
      <w:r w:rsidRPr="00576686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solamente dará derecho a obtener un (1) Premio.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</w:t>
      </w:r>
    </w:p>
    <w:p w14:paraId="2CC20A6E" w14:textId="059804F9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Será requisito indispensable para poder participar en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la Promoción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que los participantes sean personas físicas, residentes en España y mayores de edad en la fecha de inicio de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. El Organizador se reserva el derecho de solicitar a los participantes la documentación necesaria que acredite su mayoría de edad.</w:t>
      </w:r>
    </w:p>
    <w:p w14:paraId="2B16E778" w14:textId="77777777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El Organizador no se hace responsable de la imposibilidad de registrar algún participante debido a un error en la trascripción de sus datos personales, como consecuencia de participaciones que, en cada caso, resulten ininteligibles, incompletas, erróneas o falsas. Tampoco de la imposibilidad de participación por fallos en el despacho del correo ordinario o alteraciones en el envío de correos electrónicos. </w:t>
      </w:r>
    </w:p>
    <w:p w14:paraId="28BAA157" w14:textId="77777777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En el caso de detectar cualquier anomalía o sospecha que un participante está impidiendo el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lastRenderedPageBreak/>
        <w:t>normal desarrollo en su participación en la presente promoción, alterando ilegalmente su registro o su participación mediante cualquier procedimiento, técnico o informático para así falsear su participación, el Organizador podrá de forma unilateral eliminar la inscripción de ese participante.</w:t>
      </w:r>
    </w:p>
    <w:p w14:paraId="1ACC49AB" w14:textId="77777777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p w14:paraId="2A32EE67" w14:textId="77777777" w:rsidR="00576686" w:rsidRPr="00F80712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PREMIOS</w:t>
      </w:r>
    </w:p>
    <w:p w14:paraId="7EF0B19E" w14:textId="4DF675A6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Habrá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como</w:t>
      </w:r>
      <w:r w:rsidRPr="00576686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 máximo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diez</w:t>
      </w:r>
      <w:r w:rsidRPr="00F8071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 (1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0</w:t>
      </w:r>
      <w:r w:rsidRPr="00F8071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) participante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s</w:t>
      </w:r>
      <w:r w:rsidRPr="00F8071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 ganador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es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por la totalidad de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; que tendrá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derecho a obtener el premio descrito abajo,</w:t>
      </w:r>
      <w:r w:rsidRPr="00F8071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 xml:space="preserve">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siempre que haya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cumplido con lo estipulado en las presentes bases legales: </w:t>
      </w:r>
    </w:p>
    <w:p w14:paraId="72DAF02F" w14:textId="23A4B033" w:rsidR="00576686" w:rsidRPr="00F80712" w:rsidRDefault="00576686" w:rsidP="00576686">
      <w:pPr>
        <w:numPr>
          <w:ilvl w:val="0"/>
          <w:numId w:val="4"/>
        </w:numPr>
        <w:spacing w:before="240"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</w:pPr>
      <w:bookmarkStart w:id="1" w:name="_Hlk166776634"/>
      <w:r>
        <w:rPr>
          <w:rFonts w:ascii="Calibri" w:eastAsia="Times New Roman" w:hAnsi="Calibri" w:cs="Calibri"/>
          <w:b/>
          <w:bCs/>
          <w:i/>
          <w:iCs/>
          <w:kern w:val="0"/>
          <w:sz w:val="22"/>
          <w:szCs w:val="22"/>
          <w:lang w:eastAsia="es-ES"/>
          <w14:ligatures w14:val="none"/>
        </w:rPr>
        <w:t xml:space="preserve">Un (1) entrada doble, es decir, dos (2) entradas para acudir a La Velada, evento organizado por Ibai Llanos que tendrá lugar en el Estadio Santiago Bernabéu (Madrid) el 13 de julio de 2024 a partir de las 17.00 horas. </w:t>
      </w:r>
    </w:p>
    <w:p w14:paraId="543D2998" w14:textId="0244892F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  <w:t>5.1 Condiciones del Premio</w:t>
      </w:r>
    </w:p>
    <w:p w14:paraId="4971830F" w14:textId="50ADB526" w:rsid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Los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participante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s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que haya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cumplido con la mecánica de participación y con las presentes Bases Legales, y resulte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ganador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es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en </w:t>
      </w:r>
      <w:r w:rsidR="00BA78C3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la Promoción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tendrá</w:t>
      </w:r>
      <w:r w:rsidR="00BA78C3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derecho a obtener el Premio descrito anteriormente.</w:t>
      </w:r>
    </w:p>
    <w:p w14:paraId="0398BF4F" w14:textId="017BFDF9" w:rsidR="00BA78C3" w:rsidRPr="00B5251C" w:rsidRDefault="00BA78C3" w:rsidP="00BA78C3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B5251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El Premio únicamente incluye la entrada para dos (2) personas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a La Velada 2024 celebrada en el estadio Santiago Bernabéu (Madrid)</w:t>
      </w:r>
      <w:r w:rsidRPr="00B5251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en la fecha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y hora </w:t>
      </w:r>
      <w:r w:rsidRPr="00B5251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indicada anteriormente. Por ello, el Premio no incluye ningún gasto más asociado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al Evento </w:t>
      </w:r>
      <w:r w:rsidRPr="00B5251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ni gastos distintos a los indicados (a título ejemplificativo, gastos de carburante, gastos de desplazamiento, alojamiento, dietas,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gastos en el recinto, </w:t>
      </w:r>
      <w:r w:rsidRPr="00B5251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seguro de viaje u otras actividades que el participante ganador realice durante el disfrute del Premio).</w:t>
      </w:r>
    </w:p>
    <w:p w14:paraId="15EFF652" w14:textId="77777777" w:rsidR="00BA78C3" w:rsidRPr="00B5251C" w:rsidRDefault="00BA78C3" w:rsidP="00BA78C3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B5251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El Organizador no se responsabilizará del uso del Premio por parte de los ganadores y no asume responsabilidad alguna por ningún daño o perjuicio de cualquier tipo que pudiere sufrir el ganador, Participantes o terceros como consecuencia del uso del Premio.</w:t>
      </w:r>
    </w:p>
    <w:p w14:paraId="31C9593E" w14:textId="6459191A" w:rsidR="00BA78C3" w:rsidRPr="00B5251C" w:rsidRDefault="00BA78C3" w:rsidP="00BA78C3">
      <w:pPr>
        <w:spacing w:before="240"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s-ES"/>
          <w14:ligatures w14:val="none"/>
        </w:rPr>
      </w:pPr>
      <w:r w:rsidRPr="00B5251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El Premio objeto de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la presente Promoción </w:t>
      </w:r>
      <w:r w:rsidRPr="00B5251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queda sujeto a estas Bases Legales y no será posible sustituirlo por dinero en metálico. El Premio entregado no será susceptible de cambio, alteración o compensación a petición de los participantes en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la Promoción. </w:t>
      </w:r>
    </w:p>
    <w:p w14:paraId="147174DF" w14:textId="5A2B8AF8" w:rsidR="00BA78C3" w:rsidRPr="00B5251C" w:rsidRDefault="00BA78C3" w:rsidP="00BA78C3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B5251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El Organizador no es responsable en ningún caso, si por cualquier causa, 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el Evento </w:t>
      </w:r>
      <w:r w:rsidRPr="00B5251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sufriese alguna modificación o cancelación.</w:t>
      </w:r>
    </w:p>
    <w:p w14:paraId="22BDC44C" w14:textId="77777777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El Organizador se reserva el derecho de cambiar el Premio por otros de similar valor cuando concurra justa causa.</w:t>
      </w:r>
    </w:p>
    <w:p w14:paraId="6B31232F" w14:textId="23D3747A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El Premio es personal e intransferible, siendo su titular la persona que se haya registrado en </w:t>
      </w:r>
      <w:r w:rsidR="00BA78C3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la Promoción.</w:t>
      </w:r>
    </w:p>
    <w:p w14:paraId="571FA0A2" w14:textId="77777777" w:rsid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La renuncia al Premio no otorgará al renunciante derecho a indemnización o compensación alguna.</w:t>
      </w:r>
    </w:p>
    <w:p w14:paraId="736249AE" w14:textId="529221A7" w:rsidR="00576686" w:rsidRPr="00F80712" w:rsidRDefault="00BA78C3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Al Premio de la presente Promoción le será de aplicación todas las disposiciones de carácter fiscal pertinentes según la legislación española en vigor. </w:t>
      </w:r>
    </w:p>
    <w:bookmarkEnd w:id="1"/>
    <w:p w14:paraId="1CB18875" w14:textId="77777777" w:rsidR="00576686" w:rsidRPr="009966DC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9966DC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lastRenderedPageBreak/>
        <w:t>ELECCIÓN DE GANADORES</w:t>
      </w:r>
    </w:p>
    <w:p w14:paraId="61CCA7E0" w14:textId="0BAC78F4" w:rsidR="00576686" w:rsidRPr="009966DC" w:rsidRDefault="009966DC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</w:pPr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  <w:t xml:space="preserve">Los diez (10) participantes ganadores de la Promoción serán aquellos que, realizada la compra del Producto en una de las Farmacias Adheridas a la Promoción, encuentren en el interior un Golden </w:t>
      </w:r>
      <w:proofErr w:type="gramStart"/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  <w:t>Ticket</w:t>
      </w:r>
      <w:proofErr w:type="gramEnd"/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Pr="009966D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durante el periodo de vigencia de la Promoción</w:t>
      </w:r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  <w:t xml:space="preserve"> y siempre y cuando cumplan con las condiciones establecidas en la presentes Bases.</w:t>
      </w:r>
    </w:p>
    <w:p w14:paraId="563BD819" w14:textId="2D08BA14" w:rsidR="009966DC" w:rsidRDefault="009966DC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</w:pPr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  <w:t xml:space="preserve">Si durante el periodo de vigencia, los consumidores no encuentran alguno o todos de los diez (10) Golden </w:t>
      </w:r>
      <w:proofErr w:type="gramStart"/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  <w:t>Tickets</w:t>
      </w:r>
      <w:proofErr w:type="gramEnd"/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  <w:t xml:space="preserve">, el premio quedaría desierto en el número de Golden tickets no encontrados. Si alguno de los diez (10) Golden </w:t>
      </w:r>
      <w:proofErr w:type="gramStart"/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  <w:t>Ticket</w:t>
      </w:r>
      <w:proofErr w:type="gramEnd"/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eastAsia="es-ES"/>
          <w14:ligatures w14:val="none"/>
        </w:rPr>
        <w:t xml:space="preserve"> fuese encontrado fuera del periodo de vigencia, el Premio quedará desierto.</w:t>
      </w:r>
    </w:p>
    <w:p w14:paraId="2BEC01CF" w14:textId="23C31A61" w:rsidR="00576686" w:rsidRPr="009966DC" w:rsidRDefault="00576686" w:rsidP="00576686">
      <w:pPr>
        <w:keepLines/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Los Premios que no sean asignados a ningún ganador, no se repartirán entre los restantes participantes.</w:t>
      </w:r>
    </w:p>
    <w:p w14:paraId="180E27CF" w14:textId="77777777" w:rsidR="00576686" w:rsidRPr="009966DC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highlight w:val="yellow"/>
          <w:u w:val="single"/>
          <w:lang w:eastAsia="es-ES"/>
          <w14:ligatures w14:val="none"/>
        </w:rPr>
      </w:pPr>
    </w:p>
    <w:p w14:paraId="721A0038" w14:textId="77777777" w:rsidR="00576686" w:rsidRPr="009966DC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9966DC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 xml:space="preserve">COMUNICACIÓN Y ACEPTACIÓN DE PREMIOS </w:t>
      </w:r>
    </w:p>
    <w:p w14:paraId="6A87643E" w14:textId="2039E1DE" w:rsidR="00576686" w:rsidRPr="009966DC" w:rsidRDefault="00576686" w:rsidP="00576686">
      <w:pPr>
        <w:tabs>
          <w:tab w:val="num" w:pos="540"/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Una vez </w:t>
      </w:r>
      <w:r w:rsidR="009966DC"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que el participante ganador encuentre el Golden </w:t>
      </w:r>
      <w:proofErr w:type="gramStart"/>
      <w:r w:rsidR="009966DC"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>Ticket</w:t>
      </w:r>
      <w:proofErr w:type="gramEnd"/>
      <w:r w:rsidR="009966DC"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 y deje en el formulario de participación sus datos, el </w:t>
      </w:r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>Organizador les contactará por medio de correo electrónico desde la dirección de correo de algún representante de la marca a la dirección de correo facilitada en el Formulario de participación solicitando la aceptación del premio.</w:t>
      </w:r>
    </w:p>
    <w:p w14:paraId="671DA11F" w14:textId="1AE41083" w:rsidR="00576686" w:rsidRPr="009966DC" w:rsidRDefault="00576686" w:rsidP="00576686">
      <w:pPr>
        <w:tabs>
          <w:tab w:val="num" w:pos="540"/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>El participante ganador contará con un plazo de setenta y dos (72) horas para contestar aceptando el premio y confirmando la dirección de entrega del premio</w:t>
      </w:r>
      <w:r w:rsidR="00324605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>, a</w:t>
      </w:r>
      <w:r w:rsidR="00BC6F5C" w:rsidRPr="00324605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demás, de facilitar los datos de su acompañante para </w:t>
      </w:r>
      <w:r w:rsidR="00324605" w:rsidRPr="00324605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>el posterior</w:t>
      </w:r>
      <w:r w:rsidR="00BC6F5C" w:rsidRPr="00324605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 envío de las entradas.</w:t>
      </w:r>
      <w:r w:rsidR="00BC6F5C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 </w:t>
      </w:r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En caso de no recibir confirmación, se procederá a </w:t>
      </w:r>
      <w:r w:rsidR="009966DC"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>declarar el Premio desierto.</w:t>
      </w:r>
    </w:p>
    <w:p w14:paraId="01D8BB6B" w14:textId="77777777" w:rsidR="00576686" w:rsidRPr="009966DC" w:rsidRDefault="00576686" w:rsidP="00576686">
      <w:pPr>
        <w:tabs>
          <w:tab w:val="num" w:pos="540"/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9966DC">
        <w:rPr>
          <w:rFonts w:ascii="Calibri" w:eastAsia="Times New Roman" w:hAnsi="Calibri" w:cs="Calibri"/>
          <w:color w:val="000000"/>
          <w:kern w:val="0"/>
          <w:sz w:val="22"/>
          <w:szCs w:val="22"/>
          <w:lang w:val="es-ES_tradnl" w:eastAsia="es-ES"/>
          <w14:ligatures w14:val="none"/>
        </w:rPr>
        <w:t>En el caso de que algún participante ganador o reserva no pudiera ser contactado por ser los datos facilitados erróneos, o por cualquier fallo en el servicio de mensajería del participante ganador o reserva, éste perderá su derecho a obtener el Premio.</w:t>
      </w:r>
    </w:p>
    <w:p w14:paraId="729AABCB" w14:textId="77777777" w:rsidR="00576686" w:rsidRPr="009966DC" w:rsidRDefault="00576686" w:rsidP="00576686">
      <w:pPr>
        <w:tabs>
          <w:tab w:val="num" w:pos="540"/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:lang w:val="es-ES_tradnl" w:eastAsia="es-ES"/>
          <w14:ligatures w14:val="none"/>
        </w:rPr>
      </w:pPr>
    </w:p>
    <w:p w14:paraId="32BD863B" w14:textId="77777777" w:rsidR="00576686" w:rsidRPr="009966DC" w:rsidRDefault="00576686" w:rsidP="00576686">
      <w:pPr>
        <w:pStyle w:val="Prrafodelista"/>
        <w:numPr>
          <w:ilvl w:val="0"/>
          <w:numId w:val="1"/>
        </w:numPr>
        <w:tabs>
          <w:tab w:val="num" w:pos="540"/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s-ES_tradnl" w:eastAsia="es-ES"/>
          <w14:ligatures w14:val="none"/>
        </w:rPr>
      </w:pPr>
      <w:r w:rsidRPr="009966D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s-ES_tradnl" w:eastAsia="es-ES"/>
          <w14:ligatures w14:val="none"/>
        </w:rPr>
        <w:t xml:space="preserve"> ENTREGA DE PREMIOS</w:t>
      </w:r>
    </w:p>
    <w:p w14:paraId="2BD35D2D" w14:textId="630D4E0D" w:rsidR="00576686" w:rsidRPr="00F80712" w:rsidRDefault="00576686" w:rsidP="00576686">
      <w:pPr>
        <w:tabs>
          <w:tab w:val="num" w:pos="540"/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E90868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El Organizador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, una vez reciba la aceptación,</w:t>
      </w:r>
      <w:r w:rsidRPr="00E90868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enviará el Premio a los participantes ganadores que lo hubieran aceptado, mediante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correo electrónico </w:t>
      </w:r>
      <w:r w:rsidRPr="00E90868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a la dirección facilitada por el mismo, en un plazo no superior a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setenta y dos </w:t>
      </w:r>
      <w:r w:rsidRPr="00E90868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(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7</w:t>
      </w:r>
      <w:r w:rsidRPr="00E90868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2)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horas </w:t>
      </w:r>
      <w:r w:rsidR="00BC6F5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antes de la celebración del evento. </w:t>
      </w:r>
      <w:r w:rsidRPr="00E90868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Dicho envío se realizará sin cargo alguno para el ganador.</w:t>
      </w:r>
    </w:p>
    <w:p w14:paraId="66AA55B8" w14:textId="77777777" w:rsidR="00576686" w:rsidRPr="00F80712" w:rsidRDefault="00576686" w:rsidP="00576686">
      <w:pPr>
        <w:tabs>
          <w:tab w:val="num" w:pos="540"/>
        </w:tabs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La identidad del participante ganador se podrá comprobar a través de documentos oficiales (DNI, Pasaporte, Carné de Conducir, etc.). Si en el momento de la entrega del Premio el participante ganador no puede acreditar su identidad, perderá su derecho a obtener el Premio. </w:t>
      </w:r>
    </w:p>
    <w:p w14:paraId="2FA773E6" w14:textId="77777777" w:rsidR="00576686" w:rsidRPr="00F80712" w:rsidRDefault="00576686" w:rsidP="00576686">
      <w:pPr>
        <w:tabs>
          <w:tab w:val="num" w:pos="540"/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Una vez realizado el envío del Premio, el Organizador no se responsabiliza del retraso en la entrega </w:t>
      </w:r>
      <w:proofErr w:type="gramStart"/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del mismo</w:t>
      </w:r>
      <w:proofErr w:type="gramEnd"/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 y no será en modo alguno responsable por la posible pérdida o deterioro del mismo ni del mal funcionamiento, en su caso, del servicio de envío.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Una vez entregados los Premios, el Organizador no será responsable en modo alguno por el uso que los diferentes ganadores hagan del mismo y, sin afectar a sus derechos como consumidores, no asume ninguna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lastRenderedPageBreak/>
        <w:t>responsabilidad por ningún daño o perjuicio de cualquier tipo que pudieren sufrir otros participantes o terceros.</w:t>
      </w:r>
    </w:p>
    <w:p w14:paraId="4616024A" w14:textId="147A973A" w:rsidR="00576686" w:rsidRPr="00F80712" w:rsidRDefault="00576686" w:rsidP="00576686">
      <w:pPr>
        <w:tabs>
          <w:tab w:val="num" w:pos="540"/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iCs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Los Premios objeto de</w:t>
      </w:r>
      <w:r w:rsidR="009966DC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l</w:t>
      </w:r>
      <w:r w:rsidR="009966DC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a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 presente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 quedan sujetos a estas Bases, y no será posible sustituirlos por dinero en metálico. Los Premios no serán susceptibles de cambio, alteración o compensación a petición de los participantes en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. Si un participante rechaza el Premio, no se le ofrecerá ningún Premio alternativo. Los Premios serán personales e intransferibles. </w:t>
      </w:r>
      <w:r w:rsidRPr="00F80712">
        <w:rPr>
          <w:rFonts w:ascii="Calibri" w:eastAsia="Times New Roman" w:hAnsi="Calibri" w:cs="Calibri"/>
          <w:iCs/>
          <w:kern w:val="0"/>
          <w:sz w:val="22"/>
          <w:szCs w:val="22"/>
          <w:lang w:eastAsia="es-ES"/>
          <w14:ligatures w14:val="none"/>
        </w:rPr>
        <w:t>Queda prohibida la venta o comercialización de los Premios objeto de</w:t>
      </w:r>
      <w:r w:rsidR="009966DC">
        <w:rPr>
          <w:rFonts w:ascii="Calibri" w:eastAsia="Times New Roman" w:hAnsi="Calibri" w:cs="Calibri"/>
          <w:iCs/>
          <w:kern w:val="0"/>
          <w:sz w:val="22"/>
          <w:szCs w:val="22"/>
          <w:lang w:eastAsia="es-ES"/>
          <w14:ligatures w14:val="none"/>
        </w:rPr>
        <w:t xml:space="preserve"> </w:t>
      </w:r>
      <w:r w:rsidRPr="00F80712">
        <w:rPr>
          <w:rFonts w:ascii="Calibri" w:eastAsia="Times New Roman" w:hAnsi="Calibri" w:cs="Calibri"/>
          <w:iCs/>
          <w:kern w:val="0"/>
          <w:sz w:val="22"/>
          <w:szCs w:val="22"/>
          <w:lang w:eastAsia="es-ES"/>
          <w14:ligatures w14:val="none"/>
        </w:rPr>
        <w:t>l</w:t>
      </w:r>
      <w:r w:rsidR="009966DC">
        <w:rPr>
          <w:rFonts w:ascii="Calibri" w:eastAsia="Times New Roman" w:hAnsi="Calibri" w:cs="Calibri"/>
          <w:iCs/>
          <w:kern w:val="0"/>
          <w:sz w:val="22"/>
          <w:szCs w:val="22"/>
          <w:lang w:eastAsia="es-ES"/>
          <w14:ligatures w14:val="none"/>
        </w:rPr>
        <w:t>a</w:t>
      </w:r>
      <w:r w:rsidRPr="00F80712">
        <w:rPr>
          <w:rFonts w:ascii="Calibri" w:eastAsia="Times New Roman" w:hAnsi="Calibri" w:cs="Calibri"/>
          <w:iCs/>
          <w:kern w:val="0"/>
          <w:sz w:val="22"/>
          <w:szCs w:val="22"/>
          <w:lang w:eastAsia="es-ES"/>
          <w14:ligatures w14:val="none"/>
        </w:rPr>
        <w:t xml:space="preserve"> presente </w:t>
      </w:r>
      <w:r w:rsidR="009966DC">
        <w:rPr>
          <w:rFonts w:ascii="Calibri" w:eastAsia="Times New Roman" w:hAnsi="Calibri" w:cs="Calibri"/>
          <w:iCs/>
          <w:kern w:val="0"/>
          <w:sz w:val="22"/>
          <w:szCs w:val="22"/>
          <w:lang w:eastAsia="es-ES"/>
          <w14:ligatures w14:val="none"/>
        </w:rPr>
        <w:t>Promoción</w:t>
      </w:r>
      <w:r w:rsidRPr="00F80712">
        <w:rPr>
          <w:rFonts w:ascii="Calibri" w:eastAsia="Times New Roman" w:hAnsi="Calibri" w:cs="Calibri"/>
          <w:iCs/>
          <w:kern w:val="0"/>
          <w:sz w:val="22"/>
          <w:szCs w:val="22"/>
          <w:lang w:eastAsia="es-ES"/>
          <w14:ligatures w14:val="none"/>
        </w:rPr>
        <w:t>.</w:t>
      </w:r>
    </w:p>
    <w:p w14:paraId="5562B283" w14:textId="77777777" w:rsidR="00576686" w:rsidRPr="00F80712" w:rsidRDefault="00576686" w:rsidP="00576686">
      <w:pPr>
        <w:tabs>
          <w:tab w:val="num" w:pos="540"/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iCs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iCs/>
          <w:kern w:val="0"/>
          <w:sz w:val="22"/>
          <w:szCs w:val="22"/>
          <w:lang w:eastAsia="es-ES"/>
          <w14:ligatures w14:val="none"/>
        </w:rPr>
        <w:t xml:space="preserve"> </w:t>
      </w:r>
    </w:p>
    <w:p w14:paraId="46673F6E" w14:textId="77777777" w:rsidR="00576686" w:rsidRPr="00F80712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CONDICIONES DE PARTICIPACIÓN</w:t>
      </w:r>
    </w:p>
    <w:p w14:paraId="01F931C3" w14:textId="511D5D37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La participación en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la Promoción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es gratuita. La participación en el Concurso está abierta </w:t>
      </w:r>
      <w:r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a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personas físicas, residentes en España y mayores de 18 años en la fecha de inicio de</w:t>
      </w:r>
      <w:r w:rsidR="009966DC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 la Promoción.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El Organizador se reserva el derecho de solicitar a los participantes un documento oficial válido y en vigor en el que quede acreditada su mayoría de edad (ej. DNI, Pasaporte). </w:t>
      </w:r>
    </w:p>
    <w:p w14:paraId="4FF6AE4D" w14:textId="3060C26F" w:rsidR="00576686" w:rsidRPr="00E90868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Cada participante podrá participar varias veces en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la Promoción</w:t>
      </w:r>
      <w:r w:rsidR="00324605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.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</w:t>
      </w:r>
    </w:p>
    <w:p w14:paraId="45899D1C" w14:textId="5DCF75A2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No podrán participar en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, las personas que hayan intervenido en la organización </w:t>
      </w:r>
      <w:proofErr w:type="gramStart"/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del mismo</w:t>
      </w:r>
      <w:proofErr w:type="gramEnd"/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 (incluyendo, a título ejemplificativo y no limitativo, empleados de las empresas del Grupo L’OREAL, agencias implicadas en la promoción, proveedores y/o colaboradores directos o indirectos) ni sus familiares, ascendientes, descendientes, hasta segundo grado de consanguinidad, cónyuges o parejas de hecho.  </w:t>
      </w:r>
    </w:p>
    <w:p w14:paraId="4B5D238C" w14:textId="2D4F6F00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La aceptación expresa de estas Bases Legales es condición necesaria para la participación en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y, en consecuencia, para poder obtener los Premios. </w:t>
      </w:r>
    </w:p>
    <w:p w14:paraId="4F298CAC" w14:textId="40D0326D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El cumplimento de las presentes Bases Legales por parte de los participantes en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 podrá ser verificado mediante los medios técnicos a disposición del Organizador, que se reserva el derecho de realizar cualquier comprobación que considere necesaria. El incumplimiento por cualquier participante de estas Bases Legales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y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 supondrá la anulación automática de dicha participación. Del mismo modo, cualquier declaración falsa, fraude, indicios de identidad o domicilio falso o infracción de derechos de terceros, ocasionará la descalificación inmediata del participante y, en su caso, la obligación de devolver el Premio si ya le hubiera sido entregado. </w:t>
      </w:r>
    </w:p>
    <w:p w14:paraId="08068206" w14:textId="22329AD0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Los participantes no implementarán ningún método de participación que incumpla estas Bases Legales. El Organizador se reserva el derecho de descalificar, a su entera discreción, cualquier participación que (i) manipule o intente manipular</w:t>
      </w:r>
      <w:r w:rsidR="009966DC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 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; (</w:t>
      </w:r>
      <w:proofErr w:type="spellStart"/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ii</w:t>
      </w:r>
      <w:proofErr w:type="spellEnd"/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) viole cualquier de los términos y condiciones de las presentes Bases y/o (</w:t>
      </w:r>
      <w:proofErr w:type="spellStart"/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iii</w:t>
      </w:r>
      <w:proofErr w:type="spellEnd"/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) abuse, amenace o acose a cualquier participante o tercero. </w:t>
      </w:r>
    </w:p>
    <w:p w14:paraId="7CB6C3FE" w14:textId="66869EBD" w:rsidR="00576686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El Organizador podrá adoptar aquellas decisiones necesarias para la resolución de aquellas controversias y conflictos que surjan en el desarrollo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de la Promoción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siempre que estas no perjudiquen indebidamente a los participantes y resulten equitativas.</w:t>
      </w:r>
    </w:p>
    <w:p w14:paraId="7C865065" w14:textId="77777777" w:rsidR="00324605" w:rsidRDefault="00324605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</w:pPr>
    </w:p>
    <w:p w14:paraId="0A89E0BC" w14:textId="77777777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p w14:paraId="667F50B4" w14:textId="77777777" w:rsidR="00576686" w:rsidRPr="00F80712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lastRenderedPageBreak/>
        <w:t>RESPONSABILIDAD DEL ORGANIZADOR</w:t>
      </w:r>
    </w:p>
    <w:p w14:paraId="3D480360" w14:textId="74935A29" w:rsidR="00576686" w:rsidRPr="00F80712" w:rsidRDefault="00576686" w:rsidP="00576686">
      <w:pPr>
        <w:spacing w:before="240" w:after="0" w:line="240" w:lineRule="auto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Sin limitar en ninguna medida los derechos reconocidos a los consumidores por las disposiciones que resulten aplicables, el Organizador declina cualquier responsabilidad por la pérdida o demora de cualquier participación, por cualquier interrupción, falta temporal de disponibilidad o de continuidad de funcionamiento, problema en la transmisión, pérdida de información, fraude, desperfecto en la red de telecomunicaciones, problema en el funcionamiento del software, fallo de acceso, de comunicación o de respuesta o alteración de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por problemas técnicos o de otra naturaleza que escapen a su control o que sean imputables a operadores de red, prestadores de servicios intermediarios o terceros. </w:t>
      </w:r>
    </w:p>
    <w:p w14:paraId="0EB648A1" w14:textId="664C28DD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El Participante acepta que el Organizador pueda aplazar, acortar, prorrogar, modificar, cancelar o suspender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>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val="es-ES_tradnl" w:eastAsia="es-ES"/>
          <w14:ligatures w14:val="none"/>
        </w:rPr>
        <w:t xml:space="preserve"> debido a causas de fuerza mayor ajenas a su control, comprometiéndose a informar a los participantes de dicha circunstancia a la mayor brevedad. </w:t>
      </w:r>
    </w:p>
    <w:p w14:paraId="020CF84C" w14:textId="77777777" w:rsidR="00576686" w:rsidRPr="00F80712" w:rsidRDefault="00576686" w:rsidP="00576686">
      <w:pPr>
        <w:spacing w:before="240" w:after="0" w:line="240" w:lineRule="auto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El Organizador se reserva el derecho de modificar o ampliar estas Bases, siempre y cuando dichas modificaciones no afecten negativamente a los participantes, en cuyo caso se efectuará la correspondiente modificación del Acta de Protocolización de las Bases Legales inicialmente depositado ante Notario.</w:t>
      </w:r>
    </w:p>
    <w:p w14:paraId="469E2ABD" w14:textId="77777777" w:rsidR="00576686" w:rsidRPr="00F80712" w:rsidRDefault="00576686" w:rsidP="00576686">
      <w:pPr>
        <w:spacing w:before="240" w:after="0" w:line="240" w:lineRule="auto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En el caso de que cualquier cláusula de estas Bases Legales sea declarada nula o inválida, seguirán en vigor las restantes cláusulas no afectadas por la misma.</w:t>
      </w:r>
    </w:p>
    <w:p w14:paraId="3CDA782B" w14:textId="1E82DD3A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Los participantes de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a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presente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exoneran, de la forma más amplia que en derecho proceda y sin limitar en modo alguno sus derechos como consumidores, al Organizador, por cualquier tipo de responsabilidad, sanción, reclamación, demanda o causa civil, mercantil, penal, administrativa, incluyendo indemnizaciones de cualquier naturaleza y/o índole, gastos, costas (con expresa inclusión de los honorarios de letrados y procuradores). </w:t>
      </w:r>
      <w:r w:rsidRPr="00F80712">
        <w:rPr>
          <w:rFonts w:ascii="Calibri" w:eastAsia="Times New Roman" w:hAnsi="Calibri" w:cs="Calibri"/>
          <w:iCs/>
          <w:kern w:val="0"/>
          <w:sz w:val="22"/>
          <w:szCs w:val="22"/>
          <w:lang w:eastAsia="es-ES"/>
          <w14:ligatures w14:val="none"/>
        </w:rPr>
        <w:t>Sin limitar en ninguna medida la aplicación de las garantías y derechos reconocidos a los consumidores en la normativa aplicable, el Organizador no se responsabilizará del uso negligente o ilícito de los Premios por parte de los participantes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. </w:t>
      </w:r>
    </w:p>
    <w:p w14:paraId="2440DC7E" w14:textId="77777777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p w14:paraId="6757A390" w14:textId="77777777" w:rsidR="00576686" w:rsidRPr="00F80712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ASISTENCIA AL USUARIO</w:t>
      </w:r>
    </w:p>
    <w:p w14:paraId="282ACAB1" w14:textId="31E06F48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En caso de producirse cualquier incidencia en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, el participante puede dirigirse al Teléfono de Atención al Cliente.</w:t>
      </w:r>
    </w:p>
    <w:p w14:paraId="0CAEBA0D" w14:textId="77777777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p w14:paraId="26243EB8" w14:textId="77777777" w:rsidR="00576686" w:rsidRPr="00F80712" w:rsidRDefault="00576686" w:rsidP="00576686">
      <w:pPr>
        <w:widowControl w:val="0"/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DERECHOS DE PROPIEDAD INTELECTUAL, INDUSTRIAL E IMAGEN</w:t>
      </w:r>
    </w:p>
    <w:p w14:paraId="5786E2F2" w14:textId="20C6E726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Los participantes en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ceden al Organizador, en exclusiva, para todo el mundo, y con facultad de cesión a terceros, por el plazo máximo de protección de los derechos de conformidad con la ley que resulte aplicable y con facultad de cesión a terceros (en todo o en parte, en exclusiva o no, con carácter gratuito u oneroso), todos los derechos de explotación –incluidos, a título ejemplificativo, los derechos de reproducción, distribución, comunicación pública y transformación– que pudieran corresponderles sobre las Publicaciones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de la Promoción,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así como los derechos sobre su imagen –incluyendo su voz y nombre-,</w:t>
      </w:r>
      <w:r w:rsidRPr="00F80712">
        <w:rPr>
          <w:rFonts w:ascii="Calibri" w:eastAsia="Times New Roman" w:hAnsi="Calibri" w:cs="Calibri"/>
          <w:color w:val="FF0000"/>
          <w:kern w:val="0"/>
          <w:sz w:val="22"/>
          <w:szCs w:val="22"/>
          <w:lang w:eastAsia="es-ES"/>
          <w14:ligatures w14:val="none"/>
        </w:rPr>
        <w:t xml:space="preserve">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para su eventual explotación en cualquier modalidad, soporte, formato, medio y/o soporte conocido o que se puedan conocer en el futuro (incluyendo, a título enunciativo pero no limitativo, medios audiovisuales, 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lastRenderedPageBreak/>
        <w:t>impresos, sonoros y/o digitales, televisión, prensa impresa, prensa digital, libros y catálogos, repositorios digitales, Internet, redes sociales, aplicaciones informáticas y/o bases de datos).</w:t>
      </w:r>
    </w:p>
    <w:p w14:paraId="6CBD5067" w14:textId="77777777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De forma expresa, los participantes autorizan la comunicación pública y puesta a disposición de las Publicaciones en cualquier sitio web y de las denominadas “redes sociales” (entre las que se encuentran, a título ejemplificativo, pero no excluyente, Facebook, Twitter, Instagram o Pinterest).</w:t>
      </w:r>
    </w:p>
    <w:p w14:paraId="35C26E3D" w14:textId="77777777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Las cesiones efectuadas en la presente cláusula se efectúan a título gratuito, no dando pie a ninguna contraprestación distinta del Premio a los participantes. </w:t>
      </w:r>
    </w:p>
    <w:p w14:paraId="7F0BE682" w14:textId="25BBE915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Al aceptar el Premio, cada uno de los ganadores cede al Organizador sus derechos de propiedad intelectual, industrial e imagen sobre las Publicaciones, incluyendo su voz y nombre, para la incorporación de </w:t>
      </w:r>
      <w:proofErr w:type="gramStart"/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las mismos</w:t>
      </w:r>
      <w:proofErr w:type="gramEnd"/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 a cualquier operación comercial o promocional nacional o internacional de los Productos del Organizador, en cualquier modalidad, medio o soporte (incluyendo medios impresos, radiofónicos, televisivos, telefonía móvil e Internet). Adicionalmente, los participantes ganadores se comprometen a colaborar con las actividades promocionales llevadas a cabo por el Organizador en relación con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. Las cesiones efectuadas en la presente cláusula se efectúan a título gratuito, no dando pie a ninguna contraprestación distinta del Premio a los participantes ganadores.</w:t>
      </w:r>
    </w:p>
    <w:p w14:paraId="06970CF4" w14:textId="01128FE2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Para poder obtener el Premio descrito en la Cláusula Quinta de las presentes Bases, cada uno de los ganadores deberá aceptar por escrito los términos descritos en la presente Cláusula. </w:t>
      </w:r>
    </w:p>
    <w:p w14:paraId="6BD8ACB4" w14:textId="5B75E15A" w:rsidR="00576686" w:rsidRPr="00F80712" w:rsidRDefault="00576686" w:rsidP="0057668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 xml:space="preserve">El Organizador no será responsable de cualquier incumplimiento de cualquier norma o cualquier infracción de derechos de terceros efectuada por los participantes en el marco de su participación en </w:t>
      </w:r>
      <w:r w:rsidR="009966DC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la Promoción</w:t>
      </w: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, asumiendo éstos la obligación de mantener indemne al Organizador en dicho caso.</w:t>
      </w:r>
    </w:p>
    <w:p w14:paraId="72665AD7" w14:textId="77777777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</w:p>
    <w:p w14:paraId="5BB7E835" w14:textId="77777777" w:rsidR="00576686" w:rsidRPr="00F80712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PROTECCIÓN DE DATOS</w:t>
      </w:r>
    </w:p>
    <w:p w14:paraId="39542E11" w14:textId="77777777" w:rsidR="00576686" w:rsidRPr="00F80712" w:rsidRDefault="00576686" w:rsidP="00576686">
      <w:pPr>
        <w:spacing w:before="240" w:after="0" w:line="240" w:lineRule="auto"/>
        <w:ind w:left="720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</w:p>
    <w:tbl>
      <w:tblPr>
        <w:tblStyle w:val="Tablaconcuadrcula"/>
        <w:tblW w:w="0" w:type="auto"/>
        <w:shd w:val="clear" w:color="auto" w:fill="004E23"/>
        <w:tblLook w:val="04A0" w:firstRow="1" w:lastRow="0" w:firstColumn="1" w:lastColumn="0" w:noHBand="0" w:noVBand="1"/>
      </w:tblPr>
      <w:tblGrid>
        <w:gridCol w:w="2884"/>
        <w:gridCol w:w="5610"/>
      </w:tblGrid>
      <w:tr w:rsidR="00576686" w:rsidRPr="00F80712" w14:paraId="34DD2B5B" w14:textId="77777777" w:rsidTr="00CE4C79">
        <w:trPr>
          <w:tblHeader/>
        </w:trPr>
        <w:tc>
          <w:tcPr>
            <w:tcW w:w="8494" w:type="dxa"/>
            <w:gridSpan w:val="2"/>
            <w:shd w:val="clear" w:color="auto" w:fill="004E23"/>
          </w:tcPr>
          <w:p w14:paraId="6D7822D5" w14:textId="77777777" w:rsidR="00576686" w:rsidRPr="00F80712" w:rsidRDefault="00576686" w:rsidP="00CE4C79">
            <w:pPr>
              <w:spacing w:after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  <w:lang w:eastAsia="es-ES"/>
              </w:rPr>
            </w:pPr>
            <w:r w:rsidRPr="00F80712">
              <w:rPr>
                <w:rFonts w:ascii="Calibri" w:eastAsia="Arial Unicode MS" w:hAnsi="Calibri" w:cs="Calibri"/>
                <w:b/>
                <w:sz w:val="22"/>
                <w:szCs w:val="22"/>
                <w:lang w:eastAsia="es-ES"/>
              </w:rPr>
              <w:t>Información básica sobre Protección de Datos</w:t>
            </w:r>
          </w:p>
        </w:tc>
      </w:tr>
      <w:tr w:rsidR="00576686" w:rsidRPr="00F80712" w14:paraId="7E9BC26E" w14:textId="77777777" w:rsidTr="00CE4C79">
        <w:tc>
          <w:tcPr>
            <w:tcW w:w="2884" w:type="dxa"/>
            <w:shd w:val="clear" w:color="auto" w:fill="FFFFFF"/>
          </w:tcPr>
          <w:p w14:paraId="23D52424" w14:textId="77777777" w:rsidR="00576686" w:rsidRPr="00F80712" w:rsidRDefault="00576686" w:rsidP="00CE4C79">
            <w:pPr>
              <w:spacing w:after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  <w:lang w:eastAsia="es-ES"/>
              </w:rPr>
            </w:pPr>
            <w:r w:rsidRPr="00F80712">
              <w:rPr>
                <w:rFonts w:ascii="Calibri" w:eastAsia="Arial Unicode MS" w:hAnsi="Calibri" w:cs="Calibri"/>
                <w:b/>
                <w:sz w:val="22"/>
                <w:szCs w:val="22"/>
                <w:lang w:eastAsia="es-ES"/>
              </w:rPr>
              <w:t>Responsable</w:t>
            </w:r>
          </w:p>
        </w:tc>
        <w:tc>
          <w:tcPr>
            <w:tcW w:w="5610" w:type="dxa"/>
            <w:shd w:val="clear" w:color="auto" w:fill="FFFFFF"/>
          </w:tcPr>
          <w:p w14:paraId="42D84A00" w14:textId="77777777" w:rsidR="00576686" w:rsidRPr="00F80712" w:rsidRDefault="00576686" w:rsidP="00CE4C79">
            <w:pPr>
              <w:spacing w:after="120"/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</w:pPr>
            <w:proofErr w:type="spellStart"/>
            <w:r w:rsidRPr="00F80712"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  <w:t>L’Oréal</w:t>
            </w:r>
            <w:proofErr w:type="spellEnd"/>
            <w:r w:rsidRPr="00F80712"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  <w:t xml:space="preserve"> España, S.A.U.</w:t>
            </w:r>
          </w:p>
        </w:tc>
      </w:tr>
      <w:tr w:rsidR="00576686" w:rsidRPr="00F80712" w14:paraId="354AB75B" w14:textId="77777777" w:rsidTr="00CE4C79">
        <w:trPr>
          <w:trHeight w:val="1642"/>
        </w:trPr>
        <w:tc>
          <w:tcPr>
            <w:tcW w:w="2884" w:type="dxa"/>
            <w:shd w:val="clear" w:color="auto" w:fill="FFFFFF"/>
          </w:tcPr>
          <w:p w14:paraId="387EED66" w14:textId="77777777" w:rsidR="00576686" w:rsidRPr="00F80712" w:rsidRDefault="00576686" w:rsidP="00CE4C79">
            <w:pPr>
              <w:spacing w:after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  <w:lang w:eastAsia="es-ES"/>
              </w:rPr>
            </w:pPr>
            <w:r w:rsidRPr="00F80712">
              <w:rPr>
                <w:rFonts w:ascii="Calibri" w:eastAsia="Arial Unicode MS" w:hAnsi="Calibri" w:cs="Calibri"/>
                <w:b/>
                <w:sz w:val="22"/>
                <w:szCs w:val="22"/>
                <w:lang w:eastAsia="es-ES"/>
              </w:rPr>
              <w:t>Finalidad</w:t>
            </w:r>
          </w:p>
        </w:tc>
        <w:tc>
          <w:tcPr>
            <w:tcW w:w="5610" w:type="dxa"/>
            <w:shd w:val="clear" w:color="auto" w:fill="FFFFFF"/>
          </w:tcPr>
          <w:p w14:paraId="78662A35" w14:textId="77777777" w:rsidR="00576686" w:rsidRPr="00F80712" w:rsidRDefault="00576686" w:rsidP="00CE4C79">
            <w:pPr>
              <w:spacing w:after="0"/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</w:pPr>
            <w:r w:rsidRPr="00F80712"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  <w:t>Las finalidades principales de tratamiento de sus datos personales son:</w:t>
            </w:r>
          </w:p>
          <w:p w14:paraId="026E3063" w14:textId="77777777" w:rsidR="00576686" w:rsidRPr="00E90868" w:rsidRDefault="00576686" w:rsidP="00CE4C79">
            <w:pPr>
              <w:numPr>
                <w:ilvl w:val="0"/>
                <w:numId w:val="2"/>
              </w:numPr>
              <w:spacing w:after="0"/>
              <w:ind w:left="459" w:hanging="425"/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</w:pPr>
            <w:r w:rsidRPr="00F80712"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  <w:t>Gestionar su participación en Sorteos, juegos y promociones.</w:t>
            </w:r>
          </w:p>
          <w:p w14:paraId="584306A0" w14:textId="77777777" w:rsidR="00576686" w:rsidRPr="00F80712" w:rsidRDefault="00576686" w:rsidP="00CE4C79">
            <w:pPr>
              <w:numPr>
                <w:ilvl w:val="0"/>
                <w:numId w:val="2"/>
              </w:numPr>
              <w:spacing w:after="0"/>
              <w:ind w:left="459" w:hanging="425"/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</w:pPr>
            <w:r w:rsidRPr="00F80712"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  <w:t>Elaboración de perfiles.</w:t>
            </w:r>
          </w:p>
          <w:p w14:paraId="1E621EF7" w14:textId="77777777" w:rsidR="00576686" w:rsidRPr="00F80712" w:rsidRDefault="00576686" w:rsidP="00CE4C79">
            <w:pPr>
              <w:spacing w:after="0"/>
              <w:ind w:left="459"/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</w:pPr>
          </w:p>
        </w:tc>
      </w:tr>
      <w:tr w:rsidR="00576686" w:rsidRPr="00F80712" w14:paraId="392C0C67" w14:textId="77777777" w:rsidTr="00CE4C79">
        <w:tc>
          <w:tcPr>
            <w:tcW w:w="2884" w:type="dxa"/>
            <w:shd w:val="clear" w:color="auto" w:fill="FFFFFF"/>
          </w:tcPr>
          <w:p w14:paraId="0E68FECB" w14:textId="77777777" w:rsidR="00576686" w:rsidRPr="00F80712" w:rsidRDefault="00576686" w:rsidP="00CE4C79">
            <w:pPr>
              <w:spacing w:after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  <w:lang w:eastAsia="es-ES"/>
              </w:rPr>
            </w:pPr>
            <w:r w:rsidRPr="00F80712">
              <w:rPr>
                <w:rFonts w:ascii="Calibri" w:eastAsia="Arial Unicode MS" w:hAnsi="Calibri" w:cs="Calibri"/>
                <w:b/>
                <w:sz w:val="22"/>
                <w:szCs w:val="22"/>
                <w:lang w:eastAsia="es-ES"/>
              </w:rPr>
              <w:t>Derechos</w:t>
            </w:r>
          </w:p>
        </w:tc>
        <w:tc>
          <w:tcPr>
            <w:tcW w:w="5610" w:type="dxa"/>
            <w:shd w:val="clear" w:color="auto" w:fill="FFFFFF"/>
          </w:tcPr>
          <w:p w14:paraId="6D037853" w14:textId="77777777" w:rsidR="00576686" w:rsidRPr="00F80712" w:rsidRDefault="00576686" w:rsidP="00CE4C79">
            <w:pPr>
              <w:spacing w:after="0"/>
              <w:jc w:val="center"/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</w:pPr>
            <w:r w:rsidRPr="00F80712"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  <w:t>Acceder, rectificar y suprimir los datos, así como otros derechos, como se explica en la información adicional.</w:t>
            </w:r>
          </w:p>
        </w:tc>
      </w:tr>
      <w:tr w:rsidR="00576686" w:rsidRPr="00F80712" w14:paraId="364F8512" w14:textId="77777777" w:rsidTr="00CE4C79">
        <w:tc>
          <w:tcPr>
            <w:tcW w:w="2884" w:type="dxa"/>
            <w:shd w:val="clear" w:color="auto" w:fill="FFFFFF"/>
          </w:tcPr>
          <w:p w14:paraId="69E495D2" w14:textId="77777777" w:rsidR="00576686" w:rsidRPr="00F80712" w:rsidRDefault="00576686" w:rsidP="00CE4C79">
            <w:pPr>
              <w:spacing w:after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  <w:lang w:eastAsia="es-ES"/>
              </w:rPr>
            </w:pPr>
            <w:r w:rsidRPr="00F80712">
              <w:rPr>
                <w:rFonts w:ascii="Calibri" w:eastAsia="Arial Unicode MS" w:hAnsi="Calibri" w:cs="Calibri"/>
                <w:b/>
                <w:sz w:val="22"/>
                <w:szCs w:val="22"/>
                <w:lang w:eastAsia="es-ES"/>
              </w:rPr>
              <w:t>Información adicional</w:t>
            </w:r>
          </w:p>
        </w:tc>
        <w:tc>
          <w:tcPr>
            <w:tcW w:w="5610" w:type="dxa"/>
            <w:shd w:val="clear" w:color="auto" w:fill="FFFFFF"/>
          </w:tcPr>
          <w:p w14:paraId="0154814B" w14:textId="77777777" w:rsidR="00576686" w:rsidRPr="00F80712" w:rsidRDefault="00576686" w:rsidP="00CE4C79">
            <w:pPr>
              <w:spacing w:after="0"/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</w:pPr>
            <w:r w:rsidRPr="00F80712"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  <w:t xml:space="preserve">Puede consultar la información adicional y detallada sobre Protección de Datos en la </w:t>
            </w:r>
            <w:r w:rsidRPr="00F80712">
              <w:rPr>
                <w:rFonts w:ascii="Calibri" w:eastAsia="Arial Unicode MS" w:hAnsi="Calibri" w:cs="Calibri"/>
                <w:b/>
                <w:bCs/>
                <w:sz w:val="22"/>
                <w:szCs w:val="22"/>
                <w:lang w:eastAsia="es-ES"/>
              </w:rPr>
              <w:t>Política de Privacidad</w:t>
            </w:r>
            <w:r w:rsidRPr="00F80712"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  <w:t xml:space="preserve"> disponible en la URL: </w:t>
            </w:r>
          </w:p>
          <w:p w14:paraId="21F0D238" w14:textId="77777777" w:rsidR="00576686" w:rsidRPr="00A04D3D" w:rsidRDefault="00324605" w:rsidP="00CE4C7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="00576686" w:rsidRPr="00A04D3D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https://www.cerave.es/politica-de-privacidad</w:t>
              </w:r>
            </w:hyperlink>
            <w:r w:rsidR="00576686" w:rsidRPr="00A04D3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EBD7C1F" w14:textId="77777777" w:rsidR="00576686" w:rsidRPr="00F80712" w:rsidRDefault="00576686" w:rsidP="00CE4C79">
            <w:pPr>
              <w:spacing w:before="240" w:after="0"/>
              <w:rPr>
                <w:rFonts w:ascii="Calibri" w:eastAsia="Arial Unicode MS" w:hAnsi="Calibri" w:cs="Calibri"/>
                <w:sz w:val="22"/>
                <w:szCs w:val="22"/>
                <w:lang w:eastAsia="es-ES"/>
              </w:rPr>
            </w:pPr>
          </w:p>
        </w:tc>
      </w:tr>
    </w:tbl>
    <w:p w14:paraId="616B5BA2" w14:textId="77777777" w:rsidR="009966DC" w:rsidRPr="00F80712" w:rsidRDefault="009966DC" w:rsidP="00576686">
      <w:p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</w:p>
    <w:p w14:paraId="513CAA0D" w14:textId="77777777" w:rsidR="00576686" w:rsidRPr="00F80712" w:rsidRDefault="00576686" w:rsidP="00576686">
      <w:pPr>
        <w:numPr>
          <w:ilvl w:val="0"/>
          <w:numId w:val="1"/>
        </w:numPr>
        <w:spacing w:before="240"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b/>
          <w:kern w:val="0"/>
          <w:sz w:val="22"/>
          <w:szCs w:val="22"/>
          <w:lang w:eastAsia="es-ES"/>
          <w14:ligatures w14:val="none"/>
        </w:rPr>
        <w:t>DEPÓSITO DE BASES</w:t>
      </w:r>
    </w:p>
    <w:p w14:paraId="1F549ADA" w14:textId="77777777" w:rsidR="00576686" w:rsidRPr="00F80712" w:rsidRDefault="00576686" w:rsidP="00576686">
      <w:pPr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</w:pPr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Las presentes Bases estarán disponibles en las oficinas de L’ORÉAL ESPAÑA, S.A.U., ubicadas en Madrid, calle Alcalá núm. 546, 28027-Madrid y en la página Web del Consejo General del Notariado (</w:t>
      </w:r>
      <w:hyperlink r:id="rId10" w:history="1">
        <w:r w:rsidRPr="00F80712">
          <w:rPr>
            <w:rFonts w:ascii="Calibri" w:eastAsia="Arial Unicode MS" w:hAnsi="Calibri" w:cs="Calibri"/>
            <w:color w:val="0000FF"/>
            <w:kern w:val="0"/>
            <w:sz w:val="22"/>
            <w:szCs w:val="22"/>
            <w:u w:val="single"/>
            <w:lang w:eastAsia="es-ES"/>
            <w14:ligatures w14:val="none"/>
          </w:rPr>
          <w:t>www.notariado.org</w:t>
        </w:r>
      </w:hyperlink>
      <w:r w:rsidRPr="00F80712"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), y estarán depositadas ante la Notario del Ilustre Colegio de Notarios de Madrid, Dña. Eloísa López-Monís Gallego</w:t>
      </w:r>
      <w:r>
        <w:rPr>
          <w:rFonts w:ascii="Calibri" w:eastAsia="Times New Roman" w:hAnsi="Calibri" w:cs="Calibri"/>
          <w:kern w:val="0"/>
          <w:sz w:val="22"/>
          <w:szCs w:val="22"/>
          <w:lang w:eastAsia="es-ES"/>
          <w14:ligatures w14:val="none"/>
        </w:rPr>
        <w:t>.</w:t>
      </w:r>
    </w:p>
    <w:p w14:paraId="0BC566C7" w14:textId="77777777" w:rsidR="00576686" w:rsidRPr="00F80712" w:rsidRDefault="00576686" w:rsidP="005766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</w:p>
    <w:p w14:paraId="2F04A202" w14:textId="77777777" w:rsidR="00576686" w:rsidRPr="00F80712" w:rsidRDefault="00576686" w:rsidP="0057668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FC7E5AA" w14:textId="77777777" w:rsidR="00576686" w:rsidRPr="00F80712" w:rsidRDefault="00576686" w:rsidP="00576686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2C29AC7" w14:textId="77777777" w:rsidR="00576686" w:rsidRPr="00F80712" w:rsidRDefault="00576686" w:rsidP="00576686"/>
    <w:p w14:paraId="4EB88CF9" w14:textId="77777777" w:rsidR="00576686" w:rsidRDefault="00576686" w:rsidP="00576686"/>
    <w:p w14:paraId="19050DA4" w14:textId="77777777" w:rsidR="00576686" w:rsidRDefault="00576686" w:rsidP="00576686"/>
    <w:p w14:paraId="65D7BE91" w14:textId="77777777" w:rsidR="00576686" w:rsidRDefault="00576686"/>
    <w:sectPr w:rsidR="00576686" w:rsidSect="005766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A5575" w14:textId="77777777" w:rsidR="00576686" w:rsidRDefault="00576686" w:rsidP="00576686">
      <w:pPr>
        <w:spacing w:after="0" w:line="240" w:lineRule="auto"/>
      </w:pPr>
      <w:r>
        <w:separator/>
      </w:r>
    </w:p>
  </w:endnote>
  <w:endnote w:type="continuationSeparator" w:id="0">
    <w:p w14:paraId="01000F70" w14:textId="77777777" w:rsidR="00576686" w:rsidRDefault="00576686" w:rsidP="0057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C8E89" w14:textId="77777777" w:rsidR="009966DC" w:rsidRDefault="009966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284C389" w14:textId="77777777" w:rsidR="009966DC" w:rsidRDefault="009966D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3B3D0" w14:textId="77777777" w:rsidR="009966DC" w:rsidRPr="001A044A" w:rsidRDefault="009966DC" w:rsidP="00EA45CC">
    <w:pPr>
      <w:pStyle w:val="Piedepgina"/>
      <w:rPr>
        <w:rStyle w:val="Nmerodepgina"/>
        <w:sz w:val="22"/>
        <w:szCs w:val="22"/>
      </w:rPr>
    </w:pPr>
    <w:r w:rsidRPr="001A044A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03FB10" wp14:editId="3BC3657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17d54cf29f3236c7c8a6cf9b" descr="{&quot;HashCode&quot;:-7374221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E9169B" w14:textId="77777777" w:rsidR="009966DC" w:rsidRPr="004F58B2" w:rsidRDefault="009966DC" w:rsidP="004F58B2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r w:rsidRPr="004F58B2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C1 - </w:t>
                          </w:r>
                          <w:proofErr w:type="spellStart"/>
                          <w:r w:rsidRPr="004F58B2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Internal</w:t>
                          </w:r>
                          <w:proofErr w:type="spellEnd"/>
                          <w:r w:rsidRPr="004F58B2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3FB10" id="_x0000_t202" coordsize="21600,21600" o:spt="202" path="m,l,21600r21600,l21600,xe">
              <v:stroke joinstyle="miter"/>
              <v:path gradientshapeok="t" o:connecttype="rect"/>
            </v:shapetype>
            <v:shape id="MSIPCM17d54cf29f3236c7c8a6cf9b" o:spid="_x0000_s1026" type="#_x0000_t202" alt="{&quot;HashCode&quot;:-73742214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71E9169B" w14:textId="77777777" w:rsidR="009966DC" w:rsidRPr="004F58B2" w:rsidRDefault="009966DC" w:rsidP="004F58B2">
                    <w:pPr>
                      <w:spacing w:after="0"/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r w:rsidRPr="004F58B2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C1 - </w:t>
                    </w:r>
                    <w:proofErr w:type="spellStart"/>
                    <w:r w:rsidRPr="004F58B2">
                      <w:rPr>
                        <w:rFonts w:ascii="Arial" w:hAnsi="Arial" w:cs="Arial"/>
                        <w:color w:val="008000"/>
                        <w:sz w:val="18"/>
                      </w:rPr>
                      <w:t>Internal</w:t>
                    </w:r>
                    <w:proofErr w:type="spellEnd"/>
                    <w:r w:rsidRPr="004F58B2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A044A">
      <w:rPr>
        <w:sz w:val="22"/>
        <w:szCs w:val="22"/>
      </w:rPr>
      <w:t xml:space="preserve">- </w:t>
    </w:r>
    <w:r w:rsidRPr="001A044A">
      <w:rPr>
        <w:sz w:val="22"/>
        <w:szCs w:val="22"/>
      </w:rPr>
      <w:fldChar w:fldCharType="begin"/>
    </w:r>
    <w:r w:rsidRPr="001A044A">
      <w:rPr>
        <w:sz w:val="22"/>
        <w:szCs w:val="22"/>
      </w:rPr>
      <w:instrText xml:space="preserve"> PAGE </w:instrText>
    </w:r>
    <w:r w:rsidRPr="001A044A">
      <w:rPr>
        <w:sz w:val="22"/>
        <w:szCs w:val="22"/>
      </w:rPr>
      <w:fldChar w:fldCharType="separate"/>
    </w:r>
    <w:r w:rsidRPr="001A044A">
      <w:rPr>
        <w:noProof/>
        <w:sz w:val="22"/>
        <w:szCs w:val="22"/>
      </w:rPr>
      <w:t>6</w:t>
    </w:r>
    <w:r w:rsidRPr="001A044A">
      <w:rPr>
        <w:sz w:val="22"/>
        <w:szCs w:val="22"/>
      </w:rPr>
      <w:fldChar w:fldCharType="end"/>
    </w:r>
    <w:r w:rsidRPr="001A044A">
      <w:rPr>
        <w:sz w:val="22"/>
        <w:szCs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71288" w14:textId="77777777" w:rsidR="009966DC" w:rsidRDefault="009966DC" w:rsidP="007A0AF4">
    <w:pPr>
      <w:spacing w:before="24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ED00E" w14:textId="77777777" w:rsidR="00576686" w:rsidRDefault="00576686" w:rsidP="00576686">
      <w:pPr>
        <w:spacing w:after="0" w:line="240" w:lineRule="auto"/>
      </w:pPr>
      <w:r>
        <w:separator/>
      </w:r>
    </w:p>
  </w:footnote>
  <w:footnote w:type="continuationSeparator" w:id="0">
    <w:p w14:paraId="6DAE41AD" w14:textId="77777777" w:rsidR="00576686" w:rsidRDefault="00576686" w:rsidP="0057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C6F08" w14:textId="77777777" w:rsidR="009966DC" w:rsidRDefault="009966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C0C58C7" w14:textId="77777777" w:rsidR="009966DC" w:rsidRDefault="009966DC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84502" w14:textId="59E594B7" w:rsidR="009966DC" w:rsidRPr="000B15D2" w:rsidRDefault="009966DC" w:rsidP="00445530">
    <w:pPr>
      <w:tabs>
        <w:tab w:val="left" w:pos="1349"/>
      </w:tabs>
      <w:rPr>
        <w:rFonts w:ascii="Calibri" w:hAnsi="Calibri" w:cs="Calibri"/>
        <w:b/>
        <w:bCs/>
        <w:sz w:val="22"/>
        <w:szCs w:val="22"/>
      </w:rPr>
    </w:pPr>
    <w:r w:rsidRPr="000B15D2">
      <w:rPr>
        <w:rFonts w:ascii="Calibri" w:hAnsi="Calibri" w:cs="Calibri"/>
        <w:b/>
        <w:bCs/>
        <w:sz w:val="22"/>
        <w:szCs w:val="22"/>
      </w:rPr>
      <w:t xml:space="preserve">REF </w:t>
    </w:r>
    <w:r>
      <w:rPr>
        <w:rFonts w:ascii="Calibri" w:hAnsi="Calibri" w:cs="Calibri"/>
        <w:b/>
        <w:bCs/>
        <w:sz w:val="22"/>
        <w:szCs w:val="22"/>
      </w:rPr>
      <w:t>470</w:t>
    </w:r>
    <w:r w:rsidR="00576686">
      <w:rPr>
        <w:rFonts w:ascii="Calibri" w:hAnsi="Calibri" w:cs="Calibri"/>
        <w:b/>
        <w:bCs/>
        <w:sz w:val="22"/>
        <w:szCs w:val="22"/>
      </w:rPr>
      <w:t>7</w:t>
    </w:r>
  </w:p>
  <w:p w14:paraId="08EC2F7A" w14:textId="77777777" w:rsidR="009966DC" w:rsidRPr="00D1568C" w:rsidRDefault="009966DC" w:rsidP="00445530">
    <w:pPr>
      <w:tabs>
        <w:tab w:val="left" w:pos="1349"/>
      </w:tabs>
      <w:rPr>
        <w:rFonts w:cs="Calibri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1B0C0" w14:textId="77777777" w:rsidR="009966DC" w:rsidRPr="005F5AF8" w:rsidRDefault="009966DC" w:rsidP="005F5AF8">
    <w:pPr>
      <w:rPr>
        <w:rFonts w:cs="Arial"/>
        <w:b/>
        <w:i/>
      </w:rPr>
    </w:pPr>
    <w:r w:rsidRPr="005F5AF8">
      <w:rPr>
        <w:rFonts w:cs="Arial"/>
        <w:b/>
      </w:rPr>
      <w:t xml:space="preserve">Ref. </w:t>
    </w:r>
    <w:r>
      <w:rPr>
        <w:rFonts w:cs="Arial"/>
        <w:b/>
      </w:rPr>
      <w:t>3294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8EA"/>
    <w:multiLevelType w:val="hybridMultilevel"/>
    <w:tmpl w:val="264ED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43F92"/>
    <w:multiLevelType w:val="hybridMultilevel"/>
    <w:tmpl w:val="4380D6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E4DF2"/>
    <w:multiLevelType w:val="hybridMultilevel"/>
    <w:tmpl w:val="32CC34F6"/>
    <w:lvl w:ilvl="0" w:tplc="14F68D3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4B79AC"/>
    <w:multiLevelType w:val="hybridMultilevel"/>
    <w:tmpl w:val="BCFCC3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A1781"/>
    <w:multiLevelType w:val="multilevel"/>
    <w:tmpl w:val="85CC7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39191737">
    <w:abstractNumId w:val="4"/>
  </w:num>
  <w:num w:numId="2" w16cid:durableId="174882500">
    <w:abstractNumId w:val="0"/>
  </w:num>
  <w:num w:numId="3" w16cid:durableId="1717005021">
    <w:abstractNumId w:val="3"/>
  </w:num>
  <w:num w:numId="4" w16cid:durableId="1963731061">
    <w:abstractNumId w:val="1"/>
  </w:num>
  <w:num w:numId="5" w16cid:durableId="45287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86"/>
    <w:rsid w:val="00324605"/>
    <w:rsid w:val="00576686"/>
    <w:rsid w:val="005F6E65"/>
    <w:rsid w:val="009966DC"/>
    <w:rsid w:val="00BA78C3"/>
    <w:rsid w:val="00B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D4C6"/>
  <w15:chartTrackingRefBased/>
  <w15:docId w15:val="{98AD2BD0-0CE8-419D-A4C3-FCF31BDD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686"/>
  </w:style>
  <w:style w:type="paragraph" w:styleId="Ttulo1">
    <w:name w:val="heading 1"/>
    <w:basedOn w:val="Normal"/>
    <w:next w:val="Normal"/>
    <w:link w:val="Ttulo1Car"/>
    <w:uiPriority w:val="9"/>
    <w:qFormat/>
    <w:rsid w:val="00576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6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6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6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6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6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6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6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6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6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66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66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66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6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668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semiHidden/>
    <w:unhideWhenUsed/>
    <w:rsid w:val="00576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76686"/>
  </w:style>
  <w:style w:type="character" w:styleId="Nmerodepgina">
    <w:name w:val="page number"/>
    <w:basedOn w:val="Fuentedeprrafopredeter"/>
    <w:semiHidden/>
    <w:rsid w:val="00576686"/>
  </w:style>
  <w:style w:type="table" w:styleId="Tablaconcuadrcula">
    <w:name w:val="Table Grid"/>
    <w:basedOn w:val="Tablanormal"/>
    <w:uiPriority w:val="99"/>
    <w:rsid w:val="00576686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7668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668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766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ave-es.beauty-campaigns.com/quiz/1427722_1221/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rave-es.beauty-campaigns.com/quiz/1427722_1221/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notariad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rave.es/politica-de-privacida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8</Pages>
  <Words>3034</Words>
  <Characters>16692</Characters>
  <Application>Microsoft Office Word</Application>
  <DocSecurity>0</DocSecurity>
  <Lines>139</Lines>
  <Paragraphs>39</Paragraphs>
  <ScaleCrop>false</ScaleCrop>
  <Company/>
  <LinksUpToDate>false</LinksUpToDate>
  <CharactersWithSpaces>19687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Ferreiro</dc:creator>
  <cp:keywords/>
  <dc:description/>
  <cp:lastModifiedBy>Amelia Ferreiro</cp:lastModifiedBy>
  <cp:revision>6</cp:revision>
  <dcterms:created xsi:type="dcterms:W3CDTF">2024-05-13T11:13:00Z</dcterms:created>
  <dcterms:modified xsi:type="dcterms:W3CDTF">2024-05-17T10:39:00Z</dcterms:modified>
</cp:coreProperties>
</file>